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DCD" w:rsidRDefault="00703DCD" w:rsidP="000765AF">
      <w:pPr>
        <w:pStyle w:val="berschrift2ohne"/>
        <w:rPr>
          <w:rFonts w:ascii="Trebuchet MS" w:hAnsi="Trebuchet MS"/>
          <w:b/>
          <w:szCs w:val="24"/>
        </w:rPr>
      </w:pPr>
      <w:bookmarkStart w:id="0" w:name="_Ref354661928"/>
      <w:bookmarkStart w:id="1" w:name="_Toc358194438"/>
      <w:bookmarkStart w:id="2" w:name="_Toc359417823"/>
      <w:bookmarkStart w:id="3" w:name="_Toc359417977"/>
      <w:bookmarkStart w:id="4" w:name="_Toc365286358"/>
      <w:r>
        <w:rPr>
          <w:noProof/>
        </w:rPr>
        <w:drawing>
          <wp:anchor xmlns:wp14="http://schemas.microsoft.com/office/word/2010/wordprocessingDrawing" xmlns:wp="http://schemas.openxmlformats.org/drawingml/2006/wordprocessingDrawing" distT="0" distB="0" distL="114300" distR="114300" simplePos="0" relativeHeight="251659264" behindDoc="0" locked="0" layoutInCell="1" allowOverlap="1" wp14:anchorId="05A11EED" wp14:editId="112C1F26">
            <wp:simplePos x="0" y="0"/>
            <wp:positionH relativeFrom="column">
              <wp:posOffset>2542540</wp:posOffset>
            </wp:positionH>
            <wp:positionV relativeFrom="paragraph">
              <wp:posOffset>-580390</wp:posOffset>
            </wp:positionV>
            <wp:extent cx="3524250" cy="685800"/>
            <wp:effectExtent l="0" t="0" r="0" b="0"/>
            <wp:wrapNone/>
            <wp:docPr id="1" name="Picture 1" descr="Central logo_daily 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ntral logo_daily us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65AF" w:rsidRPr="000765AF" w:rsidRDefault="000765AF" w:rsidP="00703DCD">
      <w:pPr>
        <w:pStyle w:val="berschrift2ohne"/>
        <w:jc w:val="center"/>
        <w:rPr>
          <w:rFonts w:ascii="Trebuchet MS" w:hAnsi="Trebuchet MS"/>
          <w:sz w:val="32"/>
        </w:rPr>
      </w:pPr>
      <w:r>
        <w:rPr>
          <w:rFonts w:ascii="Trebuchet MS" w:hAnsi="Trebuchet MS"/>
          <w:b/>
        </w:rPr>
        <w:t>CENTRAL EUROPE 2014-2020</w:t>
      </w:r>
    </w:p>
    <w:p w:rsidR="000765AF" w:rsidRPr="00703DCD" w:rsidRDefault="000765AF" w:rsidP="00703DCD">
      <w:pPr>
        <w:pStyle w:val="berschrift2ohne"/>
        <w:spacing w:after="120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4"/>
        </w:rPr>
        <w:t xml:space="preserve">Příloha č. 5: </w:t>
      </w:r>
      <w:r>
        <w:rPr>
          <w:rFonts w:ascii="Trebuchet MS" w:hAnsi="Trebuchet MS"/>
          <w:b/>
          <w:sz w:val="24"/>
        </w:rPr>
        <w:t>Silné stránky, slabé stránky, příležitosti a hrozby v oblasti střední Evropy</w:t>
      </w:r>
      <w:bookmarkEnd w:id="0"/>
      <w:bookmarkEnd w:id="1"/>
      <w:bookmarkEnd w:id="2"/>
      <w:bookmarkEnd w:id="3"/>
      <w:bookmarkEnd w:id="4"/>
    </w:p>
    <w:tbl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<w:tblPr xmlns:w="http://schemas.openxmlformats.org/wordprocessingml/2006/main"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57"/>
        <w:gridCol w:w="3269"/>
        <w:gridCol w:w="3252"/>
        <w:gridCol w:w="2998"/>
        <w:gridCol w:w="3125"/>
      </w:tblGrid>
      <w:tr w:rsidR="000765AF" w:rsidRPr="000765AF" w:rsidTr="00703DCD">
        <w:trPr>
          <w:tblHeader/>
        </w:trPr>
        <w:tc>
          <w:tcPr>
            <w:tcW w:w="610" w:type="pct"/>
            <w:vMerge w:val="restart"/>
          </w:tcPr>
          <w:p w:rsidR="000765AF" w:rsidRPr="000765AF" w:rsidRDefault="000765AF" w:rsidP="00522D1B">
            <w:pPr>
              <w:spacing w:before="40" w:after="40" w:line="200" w:lineRule="exac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2264" w:type="pct"/>
            <w:gridSpan w:val="2"/>
            <w:shd w:val="clear" w:color="auto" w:fill="8DB3E2" w:themeFill="text2" w:themeFillTint="66"/>
          </w:tcPr>
          <w:p w:rsidR="000765AF" w:rsidRPr="000765AF" w:rsidRDefault="000765AF" w:rsidP="00522D1B">
            <w:pPr>
              <w:pStyle w:val="Tabelle"/>
              <w:spacing w:line="200" w:lineRule="exact"/>
              <w:jc w:val="center"/>
              <w:rPr>
                <w:rFonts w:ascii="Trebuchet MS" w:hAnsi="Trebuchet MS"/>
                <w:b/>
                <w:bCs/>
                <w:color w:val="0060A9"/>
                <w:szCs w:val="18"/>
              </w:rPr>
            </w:pPr>
            <w:r>
              <w:rPr>
                <w:rFonts w:ascii="Trebuchet MS" w:hAnsi="Trebuchet MS"/>
                <w:b/>
                <w:spacing w:val="40"/>
              </w:rPr>
              <w:t>Interní faktory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2126" w:type="pct"/>
            <w:gridSpan w:val="2"/>
            <w:shd w:val="clear" w:color="auto" w:fill="8DB3E2" w:themeFill="text2" w:themeFillTint="66"/>
          </w:tcPr>
          <w:p w:rsidR="000765AF" w:rsidRPr="000765AF" w:rsidRDefault="000765AF" w:rsidP="00522D1B">
            <w:pPr>
              <w:pStyle w:val="Tabelle"/>
              <w:spacing w:line="200" w:lineRule="exact"/>
              <w:jc w:val="center"/>
              <w:rPr>
                <w:rFonts w:ascii="Trebuchet MS" w:hAnsi="Trebuchet MS"/>
                <w:b/>
                <w:bCs/>
                <w:color w:val="0060A9"/>
                <w:szCs w:val="18"/>
              </w:rPr>
            </w:pPr>
            <w:r>
              <w:rPr>
                <w:rFonts w:ascii="Trebuchet MS" w:hAnsi="Trebuchet MS"/>
                <w:b/>
                <w:spacing w:val="40"/>
              </w:rPr>
              <w:t>Externí faktory</w:t>
            </w:r>
          </w:p>
        </w:tc>
      </w:tr>
      <w:tr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w:rsidR="000765AF" w:rsidRPr="000765AF" w:rsidTr="00703DCD">
        <w:trPr>
          <w:tblHeader/>
        </w:trPr>
        <w:tc>
          <w:tcPr>
            <w:tcW w:w="610" w:type="pct"/>
            <w:vMerge/>
          </w:tcPr>
          <w:p w:rsidR="000765AF" w:rsidRPr="000765AF" w:rsidRDefault="000765AF" w:rsidP="00522D1B">
            <w:pPr>
              <w:pStyle w:val="Tabelle"/>
              <w:spacing w:line="200" w:lineRule="exact"/>
              <w:rPr>
                <w:rFonts w:ascii="Trebuchet MS" w:hAnsi="Trebuchet MS"/>
                <w:b/>
                <w:bCs/>
                <w:szCs w:val="18"/>
                <w:highlight w:val="green"/>
              </w:rPr>
            </w:pPr>
          </w:p>
        </w:tc>
        <w:tc>
          <w:tcPr>
            <w:tcW w:w="1135" w:type="pct"/>
            <w:shd w:val="clear" w:color="auto" w:fill="DBE5F1" w:themeFill="accent1" w:themeFillTint="33"/>
          </w:tcPr>
          <w:p w:rsidR="000765AF" w:rsidRPr="000765AF" w:rsidRDefault="000765AF" w:rsidP="000765AF">
            <w:pPr>
              <w:pStyle w:val="Tabelle"/>
              <w:spacing w:line="200" w:lineRule="exact"/>
              <w:jc w:val="center"/>
              <w:rPr>
                <w:rFonts w:ascii="Trebuchet MS" w:hAnsi="Trebuchet MS"/>
                <w:b/>
                <w:bCs/>
                <w:szCs w:val="18"/>
              </w:rPr>
            </w:pPr>
            <w:r>
              <w:rPr>
                <w:rFonts w:ascii="Trebuchet MS" w:hAnsi="Trebuchet MS"/>
                <w:b/>
                <w:color w:val="0060A9"/>
              </w:rPr>
              <w:t>Silné stránky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129" w:type="pct"/>
            <w:shd w:val="clear" w:color="auto" w:fill="DBE5F1" w:themeFill="accent1" w:themeFillTint="33"/>
          </w:tcPr>
          <w:p w:rsidR="000765AF" w:rsidRPr="000765AF" w:rsidRDefault="000765AF" w:rsidP="000765AF">
            <w:pPr>
              <w:pStyle w:val="Tabelle"/>
              <w:spacing w:line="200" w:lineRule="exact"/>
              <w:jc w:val="center"/>
              <w:rPr>
                <w:rFonts w:ascii="Trebuchet MS" w:hAnsi="Trebuchet MS"/>
                <w:b/>
                <w:bCs/>
                <w:szCs w:val="18"/>
              </w:rPr>
            </w:pPr>
            <w:r>
              <w:rPr>
                <w:rFonts w:ascii="Trebuchet MS" w:hAnsi="Trebuchet MS"/>
                <w:b/>
                <w:color w:val="0060A9"/>
              </w:rPr>
              <w:t>Slabé stránky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041" w:type="pct"/>
            <w:shd w:val="clear" w:color="auto" w:fill="DBE5F1" w:themeFill="accent1" w:themeFillTint="33"/>
          </w:tcPr>
          <w:p w:rsidR="000765AF" w:rsidRPr="000765AF" w:rsidRDefault="000765AF" w:rsidP="000765AF">
            <w:pPr>
              <w:pStyle w:val="Tabelle"/>
              <w:spacing w:line="200" w:lineRule="exact"/>
              <w:jc w:val="center"/>
              <w:rPr>
                <w:rFonts w:ascii="Trebuchet MS" w:hAnsi="Trebuchet MS"/>
                <w:b/>
                <w:bCs/>
                <w:szCs w:val="18"/>
              </w:rPr>
            </w:pPr>
            <w:r>
              <w:rPr>
                <w:rFonts w:ascii="Trebuchet MS" w:hAnsi="Trebuchet MS"/>
                <w:b/>
                <w:color w:val="0060A9"/>
              </w:rPr>
              <w:t>Příležitosti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085" w:type="pct"/>
            <w:shd w:val="clear" w:color="auto" w:fill="DBE5F1" w:themeFill="accent1" w:themeFillTint="33"/>
          </w:tcPr>
          <w:p w:rsidR="000765AF" w:rsidRPr="000765AF" w:rsidRDefault="000765AF" w:rsidP="000765AF">
            <w:pPr>
              <w:pStyle w:val="Tabelle"/>
              <w:spacing w:line="200" w:lineRule="exact"/>
              <w:jc w:val="center"/>
              <w:rPr>
                <w:rFonts w:ascii="Trebuchet MS" w:hAnsi="Trebuchet MS"/>
                <w:b/>
                <w:bCs/>
                <w:szCs w:val="18"/>
              </w:rPr>
            </w:pPr>
            <w:r>
              <w:rPr>
                <w:rFonts w:ascii="Trebuchet MS" w:hAnsi="Trebuchet MS"/>
                <w:b/>
                <w:color w:val="0060A9"/>
              </w:rPr>
              <w:t>Hrozby</w:t>
            </w:r>
          </w:p>
        </w:tc>
      </w:tr>
      <w:tr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w:rsidR="000765AF" w:rsidRPr="000765AF" w:rsidTr="00703DCD">
        <w:tc>
          <w:tcPr>
            <w:tcW w:w="610" w:type="pct"/>
            <w:shd w:val="clear" w:color="auto" w:fill="DBE5F1" w:themeFill="accent1" w:themeFillTint="33"/>
          </w:tcPr>
          <w:p w:rsidR="000765AF" w:rsidRPr="000765AF" w:rsidRDefault="000765AF" w:rsidP="00522D1B">
            <w:pPr>
              <w:pStyle w:val="Tabelle"/>
              <w:spacing w:line="200" w:lineRule="exact"/>
              <w:rPr>
                <w:rFonts w:ascii="Trebuchet MS" w:hAnsi="Trebuchet MS"/>
                <w:b/>
                <w:bCs/>
                <w:szCs w:val="18"/>
              </w:rPr>
            </w:pPr>
            <w:r>
              <w:rPr>
                <w:rFonts w:ascii="Trebuchet MS" w:hAnsi="Trebuchet MS"/>
                <w:b/>
                <w:color w:val="0060A9"/>
              </w:rPr>
              <w:t>TC 1 Výzkum, technologický rozvoj a inovace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135" w:type="pct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Růst v oblasti služeb souvisejících s podnikáním, v průřezových a technologických odvětvích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Vysoké výdaje na výzkum a vývoj v městských regionech, atraktivní trhy práce pro vysoce kvalifikované pracovníky</w:t>
            </w:r>
          </w:p>
          <w:p w:rsid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Některé venkovské a středně osídlené oblasti vykazují významnou aktivitu v oblasti výzkumu a vývoje („ostrůvky inovací“)</w:t>
            </w:r>
          </w:p>
          <w:p w:rsidR="00CB138A" w:rsidRPr="000765AF" w:rsidRDefault="00CB138A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Vysoká úroveň zkušeností a know-how v odvětví high-tech služeb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color w:val="0060A9"/>
                <w:szCs w:val="18"/>
              </w:rPr>
            </w:pPr>
            <w:r>
              <w:rPr>
                <w:rFonts w:ascii="Trebuchet MS" w:hAnsi="Trebuchet MS"/>
              </w:rPr>
              <w:t>Podpora některých klastrů prostřednictvím různých národních strategií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129" w:type="pct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Nízká úroveň výzkumu a vývoje v některých (venkovských) regionech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Nedostatečný transfer technologií a chybějící dostupnost výsledků výzkumu a vývoje zejména pro MSP</w:t>
            </w:r>
          </w:p>
          <w:p w:rsidR="000765AF" w:rsidRPr="00536B7A" w:rsidRDefault="00536B7A" w:rsidP="00536B7A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color w:val="0060A9"/>
                <w:szCs w:val="18"/>
              </w:rPr>
            </w:pPr>
            <w:r>
              <w:rPr>
                <w:rFonts w:ascii="Trebuchet MS" w:hAnsi="Trebuchet MS"/>
              </w:rPr>
              <w:t>Velké ekonomické rozdíly mezi středoevropskými regiony, podstatně nižší úroveň výzkumu a vývoje v nových členských státech</w:t>
            </w:r>
          </w:p>
          <w:p w:rsidR="00536B7A" w:rsidRPr="000765AF" w:rsidRDefault="00536B7A" w:rsidP="00536B7A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color w:val="0060A9"/>
                <w:szCs w:val="18"/>
              </w:rPr>
            </w:pPr>
            <w:r>
              <w:rPr>
                <w:rFonts w:ascii="Trebuchet MS" w:hAnsi="Trebuchet MS"/>
              </w:rPr>
              <w:t>Nepoměr HDP mezi oblastmi na periferii a v centru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041" w:type="pct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 xml:space="preserve">Podpora inovací a atraktivní prostředí pro investice </w:t>
            </w:r>
          </w:p>
          <w:p w:rsid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Pozitivní vliv pólů růstu</w:t>
            </w:r>
          </w:p>
          <w:p w:rsidR="00536B7A" w:rsidRPr="00536B7A" w:rsidRDefault="00536B7A" w:rsidP="00536B7A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Politická podpora kooperativních ekonomických aktivit, rozvoj klastrů a sítí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085" w:type="pct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Rostoucí rozdíly mezi rozvinutými regiony a regiony, které z hlediska inovací zaostávají</w:t>
            </w:r>
          </w:p>
          <w:p w:rsidR="000765AF" w:rsidRPr="00536B7A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color w:val="0060A9"/>
                <w:szCs w:val="18"/>
              </w:rPr>
            </w:pPr>
            <w:r>
              <w:rPr>
                <w:rFonts w:ascii="Trebuchet MS" w:hAnsi="Trebuchet MS"/>
              </w:rPr>
              <w:t>Odliv mozků mladých a kreativních talentů z periferních regionů</w:t>
            </w:r>
          </w:p>
          <w:p w:rsidR="00536B7A" w:rsidRPr="00536B7A" w:rsidRDefault="00536B7A" w:rsidP="00536B7A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Rostoucí konkurence (pracovního) trhu vůči dalším globálním regionům (Čína, Indie) a tlak na ekonomickou produktivitu</w:t>
            </w:r>
          </w:p>
        </w:tc>
      </w:tr>
      <w:tr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w:rsidR="000765AF" w:rsidRPr="000765AF" w:rsidTr="00EB1A98">
        <w:tc>
          <w:tcPr>
            <w:tcW w:w="610" w:type="pct"/>
            <w:shd w:val="clear" w:color="auto" w:fill="DBE5F1" w:themeFill="accent1" w:themeFillTint="33"/>
          </w:tcPr>
          <w:p w:rsidR="000765AF" w:rsidRPr="000765AF" w:rsidRDefault="000765AF" w:rsidP="00522D1B">
            <w:pPr>
              <w:pStyle w:val="Tabelle"/>
              <w:spacing w:line="200" w:lineRule="exact"/>
              <w:rPr>
                <w:rFonts w:ascii="Trebuchet MS" w:hAnsi="Trebuchet MS"/>
                <w:b/>
                <w:bCs/>
                <w:szCs w:val="18"/>
              </w:rPr>
            </w:pPr>
            <w:r>
              <w:rPr>
                <w:rFonts w:ascii="Trebuchet MS" w:hAnsi="Trebuchet MS"/>
                <w:b/>
                <w:color w:val="0060A9"/>
              </w:rPr>
              <w:t>TC 2 IKT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135" w:type="pct"/>
            <w:shd w:val="clear" w:color="auto" w:fill="D9D9D9" w:themeFill="background1" w:themeFillShade="D9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Kvalitním připojením k vysokorychlostnímu internetu se může pochlubit většina regionů hlavních měst ve střední Evropě a jižní Německo.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color w:val="0060A9"/>
                <w:szCs w:val="18"/>
              </w:rPr>
            </w:pPr>
            <w:r>
              <w:rPr>
                <w:rFonts w:ascii="Trebuchet MS" w:hAnsi="Trebuchet MS"/>
              </w:rPr>
              <w:t>Skokový technologický pokrok v oblasti IKT v některých regionech (zavádění širokopásmového připojení)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129" w:type="pct"/>
            <w:shd w:val="clear" w:color="auto" w:fill="D9D9D9" w:themeFill="background1" w:themeFillShade="D9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Sektorové a prostorové disproporce v oblasti infrastruktury IKT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color w:val="0060A9"/>
                <w:szCs w:val="18"/>
              </w:rPr>
            </w:pPr>
            <w:r>
              <w:rPr>
                <w:rFonts w:ascii="Trebuchet MS" w:hAnsi="Trebuchet MS"/>
              </w:rPr>
              <w:t xml:space="preserve">Širokopásmové pokrytí v řídce osídlených oblastech obecně zaostává za připojením v hustě obydlených oblastech 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color w:val="0060A9"/>
                <w:szCs w:val="18"/>
              </w:rPr>
            </w:pPr>
            <w:r>
              <w:rPr>
                <w:rFonts w:ascii="Trebuchet MS" w:hAnsi="Trebuchet MS"/>
              </w:rPr>
              <w:t>Rostoucí rozdíly mezi regiony s dobrým připojením a regiony, kde IKT zaostávají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041" w:type="pct"/>
            <w:shd w:val="clear" w:color="auto" w:fill="D9D9D9" w:themeFill="background1" w:themeFillShade="D9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color w:val="0060A9"/>
                <w:szCs w:val="18"/>
              </w:rPr>
            </w:pPr>
            <w:r>
              <w:rPr>
                <w:rFonts w:ascii="Trebuchet MS" w:hAnsi="Trebuchet MS"/>
              </w:rPr>
              <w:t>Při snižování rozdílů v pokrytí IKT mezi řídce a hustě obydlenými oblastmi mohou hrát zásadní úlohu mobilní technologie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085" w:type="pct"/>
            <w:shd w:val="clear" w:color="auto" w:fill="D9D9D9" w:themeFill="background1" w:themeFillShade="D9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Vysoké náklady na infrastrukturu pro rozšíření širokopásmového připojení</w:t>
            </w:r>
          </w:p>
        </w:tc>
      </w:tr>
      <w:tr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w:rsidR="000765AF" w:rsidRPr="000765AF" w:rsidTr="00EB1A98">
        <w:tc>
          <w:tcPr>
            <w:tcW w:w="610" w:type="pct"/>
            <w:shd w:val="clear" w:color="auto" w:fill="DBE5F1" w:themeFill="accent1" w:themeFillTint="33"/>
          </w:tcPr>
          <w:p w:rsidR="000765AF" w:rsidRPr="000765AF" w:rsidRDefault="000765AF" w:rsidP="00522D1B">
            <w:pPr>
              <w:pStyle w:val="Tabelle"/>
              <w:spacing w:line="200" w:lineRule="exact"/>
              <w:rPr>
                <w:rFonts w:ascii="Trebuchet MS" w:hAnsi="Trebuchet MS"/>
                <w:b/>
                <w:bCs/>
                <w:szCs w:val="18"/>
              </w:rPr>
            </w:pPr>
            <w:r>
              <w:rPr>
                <w:rFonts w:ascii="Trebuchet MS" w:hAnsi="Trebuchet MS"/>
                <w:b/>
                <w:color w:val="0060A9"/>
              </w:rPr>
              <w:t>TC 3 Konkurenceschopnost MSP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135" w:type="pct"/>
            <w:shd w:val="clear" w:color="auto" w:fill="D9D9D9" w:themeFill="background1" w:themeFillShade="D9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V některých regionech jsou místní podniky/MSP zdrojem velkého počtu inovací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color w:val="0060A9"/>
                <w:szCs w:val="18"/>
              </w:rPr>
            </w:pPr>
            <w:r>
              <w:rPr>
                <w:rFonts w:ascii="Trebuchet MS" w:hAnsi="Trebuchet MS"/>
              </w:rPr>
              <w:t>MSP představují živnou půdu pro technologické inovace a v kombinaci s vysokou úrovní vzdělanosti mohou podnikatelé podněcovat vývoj inovací v regionu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129" w:type="pct"/>
            <w:shd w:val="clear" w:color="auto" w:fill="D9D9D9" w:themeFill="background1" w:themeFillShade="D9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 xml:space="preserve">Významné ekonomické disproporce mezi regiony 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Přístup k financování je stále roztříštěný a nevhodný pro současné potřeby, zejména v případě začínajících podniků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color w:val="0060A9"/>
                <w:szCs w:val="18"/>
              </w:rPr>
            </w:pPr>
            <w:r>
              <w:rPr>
                <w:rFonts w:ascii="Trebuchet MS" w:hAnsi="Trebuchet MS"/>
              </w:rPr>
              <w:t>Nedostatek „ekologických“ forem zaměstnání, kreativních odvětví a spolupracujících MSP (klastry, sítě)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041" w:type="pct"/>
            <w:shd w:val="clear" w:color="auto" w:fill="D9D9D9" w:themeFill="background1" w:themeFillShade="D9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Rozšiřování okruhu působnosti v důsledku procesů rozšíření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Posílení konkurenceschopnosti a deregulace pro nastartování rozvoje MSP</w:t>
            </w:r>
          </w:p>
          <w:p w:rsidR="000765AF" w:rsidRPr="007C3F79" w:rsidRDefault="007C3F79" w:rsidP="007C3F79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Globalizace a rozšiřování EU jako prostředek přístupu k novým trhům a kapitálu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085" w:type="pct"/>
            <w:shd w:val="clear" w:color="auto" w:fill="D9D9D9" w:themeFill="background1" w:themeFillShade="D9"/>
          </w:tcPr>
          <w:p w:rsidR="007C3F79" w:rsidRPr="00536B7A" w:rsidRDefault="007C3F79" w:rsidP="007C3F79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color w:val="0060A9"/>
                <w:szCs w:val="18"/>
              </w:rPr>
            </w:pPr>
            <w:r>
              <w:rPr>
                <w:rFonts w:ascii="Trebuchet MS" w:hAnsi="Trebuchet MS"/>
              </w:rPr>
              <w:t>Nadměrná regulace v některých politických oblastech (např. ochrana národního trhu, sociální zabezpečení, pracovní trhy)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color w:val="0060A9"/>
                <w:szCs w:val="18"/>
              </w:rPr>
            </w:pPr>
            <w:r>
              <w:rPr>
                <w:rFonts w:ascii="Trebuchet MS" w:hAnsi="Trebuchet MS"/>
              </w:rPr>
              <w:t>Nedostatek dostatečně kvalifikovaných pracovníků jako důvod snižování konkurenceschopnosti v globalizovaném světě</w:t>
            </w:r>
          </w:p>
        </w:tc>
      </w:tr>
      <w:tr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w:rsidR="000765AF" w:rsidRPr="000765AF" w:rsidTr="00703DCD">
        <w:tc>
          <w:tcPr>
            <w:tcW w:w="610" w:type="pct"/>
            <w:shd w:val="clear" w:color="auto" w:fill="DBE5F1" w:themeFill="accent1" w:themeFillTint="33"/>
          </w:tcPr>
          <w:p w:rsidR="000765AF" w:rsidRPr="000765AF" w:rsidRDefault="000765AF" w:rsidP="00522D1B">
            <w:pPr>
              <w:pStyle w:val="Tabelle"/>
              <w:spacing w:line="200" w:lineRule="exact"/>
              <w:rPr>
                <w:rFonts w:ascii="Trebuchet MS" w:hAnsi="Trebuchet MS"/>
                <w:b/>
                <w:bCs/>
                <w:szCs w:val="18"/>
              </w:rPr>
            </w:pPr>
            <w:r>
              <w:rPr>
                <w:rFonts w:ascii="Trebuchet MS" w:hAnsi="Trebuchet MS"/>
                <w:b/>
                <w:color w:val="0060A9"/>
              </w:rPr>
              <w:t>TC 4 Nízkouhlíkové hospodářství ve všech odvětvích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135" w:type="pct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 xml:space="preserve">Vysoká úroveň zkušeností a know-how v oblasti energie z obnovitelných zdrojů 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Nárůst výroby energie z obnovitelných zdrojů (větru, slunce, biomasy, vody, geotermální energie)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Vysoký podíl výroby biomasy v některých regionech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Existující potenciál geotermální energie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color w:val="0060A9"/>
                <w:szCs w:val="18"/>
              </w:rPr>
            </w:pPr>
            <w:r>
              <w:rPr>
                <w:rFonts w:ascii="Trebuchet MS" w:hAnsi="Trebuchet MS"/>
              </w:rPr>
              <w:t>Využívání energeticky úsporných technologií (infrastruktura, bydlení) v některých regionech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129" w:type="pct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Rostoucí poptávka po energiích a nedostatek energetických koridorů a elektrického vedení především v případě energie z obnovitelných zdrojů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Vysoká závislost na dovozu energií a dovoz ze zemí ohrožených politickou nebo ekonomickou nestabilitou</w:t>
            </w:r>
          </w:p>
          <w:p w:rsidR="00CB138A" w:rsidRPr="000765AF" w:rsidRDefault="00CB138A" w:rsidP="00CB138A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Využívání energie z obnovitelných zdrojů je stále nízké v nových členských státech (např. Česká republika, Polsko, Slovensko)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Nízká energetická účinnost v regionech východní a jihovýchodní Evropy a ve veřejných institucích</w:t>
            </w:r>
          </w:p>
          <w:p w:rsidR="000765AF" w:rsidRPr="00CB138A" w:rsidRDefault="000765AF" w:rsidP="00CB138A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Vysoká energetická náročnost dopravy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041" w:type="pct"/>
          </w:tcPr>
          <w:p w:rsidR="000765AF" w:rsidRPr="000765AF" w:rsidRDefault="000765AF" w:rsidP="00CB138A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color w:val="0060A9"/>
                <w:szCs w:val="18"/>
              </w:rPr>
            </w:pPr>
            <w:r>
              <w:rPr>
                <w:rFonts w:ascii="Trebuchet MS" w:hAnsi="Trebuchet MS"/>
              </w:rPr>
              <w:t>Rostoucí ceny pevných paliv otevírají příležitosti pro využívání energie z obnovitelných zdrojů a vytváření nových zdrojů příjmu a pracovních míst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085" w:type="pct"/>
          </w:tcPr>
          <w:p w:rsidR="000765AF" w:rsidRPr="000765AF" w:rsidRDefault="00CB138A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V důsledku stávajícího životního stylu ve „vyspělých“ ekonomikách a procesů usilujících o dosažení stejné úrovně v nových členských státech vzrůstá poptávka po energiích. V oblasti spotřeby energie se jedná o nejrychleji rostoucí sektor s největším stupněm závislosti na fosilních palivech.</w:t>
            </w:r>
          </w:p>
          <w:p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w:rsidR="000765AF" w:rsidRPr="000765AF" w:rsidRDefault="000765AF" w:rsidP="00CB138A">
            <w:pPr>
              <w:pStyle w:val="Tabelle"/>
              <w:spacing w:before="0" w:line="200" w:lineRule="exact"/>
              <w:ind w:left="170"/>
              <w:rPr>
                <w:rFonts w:ascii="Trebuchet MS" w:hAnsi="Trebuchet MS"/>
                <w:color w:val="0060A9"/>
                <w:szCs w:val="18"/>
              </w:rPr>
            </w:pPr>
          </w:p>
        </w:tc>
      </w:tr>
      <w:tr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w:rsidR="000765AF" w:rsidRPr="000765AF" w:rsidTr="00EB1A98">
        <w:tc>
          <w:tcPr>
            <w:tcW w:w="610" w:type="pct"/>
            <w:shd w:val="clear" w:color="auto" w:fill="DBE5F1" w:themeFill="accent1" w:themeFillTint="33"/>
          </w:tcPr>
          <w:p w:rsidR="000765AF" w:rsidRPr="000765AF" w:rsidRDefault="000765AF" w:rsidP="00522D1B">
            <w:pPr>
              <w:pStyle w:val="Tabelle"/>
              <w:spacing w:line="200" w:lineRule="exact"/>
              <w:rPr>
                <w:rFonts w:ascii="Trebuchet MS" w:hAnsi="Trebuchet MS"/>
                <w:b/>
                <w:bCs/>
                <w:szCs w:val="18"/>
              </w:rPr>
            </w:pPr>
            <w:r>
              <w:rPr>
                <w:rFonts w:ascii="Trebuchet MS" w:hAnsi="Trebuchet MS"/>
                <w:b/>
                <w:color w:val="0060A9"/>
              </w:rPr>
              <w:t>TC 5 Přizpůsobování se klimatickým změnám, prevence a řízení rizik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135" w:type="pct"/>
            <w:shd w:val="clear" w:color="auto" w:fill="D9D9D9" w:themeFill="background1" w:themeFillShade="D9"/>
          </w:tcPr>
          <w:p w:rsidR="006764F2" w:rsidRPr="006764F2" w:rsidRDefault="000765AF" w:rsidP="006764F2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Stávající opatření na ochranu proti povodním a stanovení pásem ohrožení, především v alpských regionech</w:t>
            </w:r>
          </w:p>
          <w:p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w:rsidR="000765AF" w:rsidRPr="000765AF" w:rsidRDefault="000765AF" w:rsidP="006764F2">
            <w:pPr>
              <w:pStyle w:val="Tabelle"/>
              <w:spacing w:line="200" w:lineRule="exact"/>
              <w:ind w:left="170"/>
              <w:rPr>
                <w:rFonts w:ascii="Trebuchet MS" w:hAnsi="Trebuchet MS"/>
                <w:color w:val="0060A9"/>
                <w:szCs w:val="18"/>
              </w:rPr>
            </w:pP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129" w:type="pct"/>
            <w:shd w:val="clear" w:color="auto" w:fill="D9D9D9" w:themeFill="background1" w:themeFillShade="D9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Některé regiony jsou z důvodu intenzivního zemědělství nebo využívání vodních elektráren silně závislé na odběru vody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Nové členské státy jsou zranitelnější v případě zásadních klimatických změn, které mohou ovlivnit cestovní ruch v letním období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color w:val="0060A9"/>
                <w:szCs w:val="18"/>
              </w:rPr>
            </w:pPr>
            <w:r>
              <w:rPr>
                <w:rFonts w:ascii="Trebuchet MS" w:hAnsi="Trebuchet MS"/>
              </w:rPr>
              <w:t xml:space="preserve">Vysoká pravděpodobnost povodní v povodích řek (největší riziko: </w:t>
            </w:r>
            <w:r>
              <w:rPr>
                <w:rFonts w:ascii="Trebuchet MS" w:hAnsi="Trebuchet MS"/>
              </w:rPr>
              <w:t>Německo, západní Polsko)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041" w:type="pct"/>
            <w:shd w:val="clear" w:color="auto" w:fill="D9D9D9" w:themeFill="background1" w:themeFillShade="D9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color w:val="0060A9"/>
                <w:szCs w:val="18"/>
              </w:rPr>
            </w:pPr>
            <w:r>
              <w:rPr>
                <w:rFonts w:ascii="Trebuchet MS" w:hAnsi="Trebuchet MS"/>
              </w:rPr>
              <w:t>Rostoucí informovanost o následcích klimatických změn a adaptačních opatřeních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085" w:type="pct"/>
            <w:shd w:val="clear" w:color="auto" w:fill="D9D9D9" w:themeFill="background1" w:themeFillShade="D9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Zvýšený výskyt přírodních katastrof a povodní</w:t>
            </w:r>
          </w:p>
          <w:p w:rsidR="002927F5" w:rsidRPr="000765AF" w:rsidRDefault="002927F5" w:rsidP="002927F5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Zvyšování průměrné teploty vzduchu (např. nepřetržité ubývání sněhové pokrývky)</w:t>
            </w:r>
          </w:p>
          <w:p w:rsidR="002927F5" w:rsidRPr="002927F5" w:rsidRDefault="002927F5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Klimatické změny ovlivňují přírodní prostředí (např. zánik druhů, geografický posun plodin), v některých regionech zvyšují suchost půdy a také silně přispívají k rostoucímu počtu tropických nocí v městských oblastech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color w:val="0060A9"/>
                <w:szCs w:val="18"/>
              </w:rPr>
            </w:pPr>
            <w:r>
              <w:rPr>
                <w:rFonts w:ascii="Trebuchet MS" w:hAnsi="Trebuchet MS"/>
              </w:rPr>
              <w:t>Riziko hydrogeologické nestability</w:t>
            </w:r>
          </w:p>
        </w:tc>
      </w:tr>
      <w:tr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w:rsidR="000765AF" w:rsidRPr="000765AF" w:rsidTr="00703DCD">
        <w:tc>
          <w:tcPr>
            <w:tcW w:w="610" w:type="pct"/>
            <w:shd w:val="clear" w:color="auto" w:fill="DBE5F1" w:themeFill="accent1" w:themeFillTint="33"/>
          </w:tcPr>
          <w:p w:rsidR="000765AF" w:rsidRPr="000765AF" w:rsidRDefault="000765AF" w:rsidP="00522D1B">
            <w:pPr>
              <w:pStyle w:val="Tabelle"/>
              <w:spacing w:line="200" w:lineRule="exact"/>
              <w:rPr>
                <w:rFonts w:ascii="Trebuchet MS" w:hAnsi="Trebuchet MS"/>
                <w:b/>
                <w:bCs/>
                <w:szCs w:val="18"/>
              </w:rPr>
            </w:pPr>
            <w:r>
              <w:rPr>
                <w:rFonts w:ascii="Trebuchet MS" w:hAnsi="Trebuchet MS"/>
                <w:b/>
                <w:color w:val="0060A9"/>
              </w:rPr>
              <w:t>TC 6 Životní prostředí a efektivní využívání zdrojů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135" w:type="pct"/>
          </w:tcPr>
          <w:p w:rsidR="00636872" w:rsidRDefault="00636872" w:rsidP="00636872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Bohatství a rozmanitost krajiny, přírodního a kulturního dědictví (důležité faktory lokality)</w:t>
            </w:r>
          </w:p>
          <w:p w:rsidR="00C12576" w:rsidRPr="000765AF" w:rsidRDefault="00C12576" w:rsidP="00C12576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Využívání endogenního potenciálu k posílení regionální identity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V Itálii, Maďarsku a Slovinsku je oproti průměru EU-27 větší počet chráněných oblastí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color w:val="0060A9"/>
                <w:szCs w:val="18"/>
              </w:rPr>
            </w:pPr>
            <w:r>
              <w:rPr>
                <w:rFonts w:ascii="Trebuchet MS" w:hAnsi="Trebuchet MS"/>
              </w:rPr>
              <w:t>Kapacita čištění odpadních vod je velmi vysoká na Slovensku, ve Slovinsku, Rakousku a Německu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129" w:type="pct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 xml:space="preserve">Fragmentace, zaniklá nebo klesající rozmanitost přírodních oblastí, chybějící sítě ekosystémů 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Tlak na využívání půdy, který vede ke střetům mezi uživateli, fragmentaci půdy a ztrátě biodiverzity</w:t>
            </w:r>
          </w:p>
          <w:p w:rsidR="000765AF" w:rsidRPr="000765AF" w:rsidRDefault="00636872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Nízká kvalita ovzduší a vysoké koncentrace pevných částic a ozonu ve velkých městech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Špatná kvalita vody v řekách a jezerech v některých regionech (eutrofizace)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Kvalitativní a kvantitativní nedostatky infrastruktury životního prostředí v některých regionech (odpadové hospodářství a čištění odpadních vod)</w:t>
            </w:r>
          </w:p>
          <w:p w:rsidR="000765AF" w:rsidRPr="000765AF" w:rsidRDefault="00636872" w:rsidP="00636872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 xml:space="preserve">Chátrající kulturní dědictví 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041" w:type="pct"/>
          </w:tcPr>
          <w:p w:rsidR="00C12576" w:rsidRPr="00C12576" w:rsidRDefault="00C12576" w:rsidP="00636872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color w:val="0060A9"/>
                <w:szCs w:val="18"/>
              </w:rPr>
            </w:pPr>
            <w:r>
              <w:rPr>
                <w:rFonts w:ascii="Trebuchet MS" w:hAnsi="Trebuchet MS"/>
              </w:rPr>
              <w:t>Integrované řízení národních a kulturních zdrojů přispívá k udržitelnému dlouhodobému socioekonomickému rozvoji regionů</w:t>
            </w:r>
          </w:p>
          <w:p w:rsidR="000765AF" w:rsidRPr="00636872" w:rsidRDefault="00636872" w:rsidP="00636872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color w:val="0060A9"/>
                <w:szCs w:val="18"/>
              </w:rPr>
            </w:pPr>
            <w:r>
              <w:rPr>
                <w:rFonts w:ascii="Trebuchet MS" w:hAnsi="Trebuchet MS"/>
              </w:rPr>
              <w:t>Zřízení vysokého podílu chráněných oblastí prostřednictvím unijních fondů a politik</w:t>
            </w:r>
          </w:p>
          <w:p w:rsidR="00C12576" w:rsidRPr="000765AF" w:rsidRDefault="00C12576" w:rsidP="00C12576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Politika soudržnosti zaměřující se na infrastrukturu životního prostředí včetně dodávek čisté pitné vody, odpadového hospodářství a čištění odpadních vod</w:t>
            </w:r>
          </w:p>
          <w:p w:rsidR="00636872" w:rsidRPr="000765AF" w:rsidRDefault="00636872" w:rsidP="00636872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color w:val="0060A9"/>
                <w:szCs w:val="18"/>
              </w:rPr>
            </w:pPr>
            <w:r>
              <w:rPr>
                <w:rFonts w:ascii="Trebuchet MS" w:hAnsi="Trebuchet MS"/>
              </w:rPr>
              <w:t>Potenciál růstu „ekologického“ hospodářství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085" w:type="pct"/>
          </w:tcPr>
          <w:p w:rsidR="00636872" w:rsidRPr="00636872" w:rsidRDefault="00636872" w:rsidP="00636872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Rostoucí neudržitelné využívání přírodních zdrojů kvůli ekonomické činnosti</w:t>
            </w:r>
          </w:p>
          <w:p w:rsidR="00636872" w:rsidRPr="00636872" w:rsidRDefault="00084D23" w:rsidP="00636872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Probíhající (sub)urbanizační procesy způsobují střety ohledně využívání půdy a vytvářejí ekologické problémy ve městech</w:t>
            </w:r>
          </w:p>
          <w:p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w:rsidR="000765AF" w:rsidRPr="000765AF" w:rsidRDefault="000765AF" w:rsidP="00636872">
            <w:pPr>
              <w:pStyle w:val="Tabelle"/>
              <w:spacing w:before="0" w:line="200" w:lineRule="exact"/>
              <w:ind w:left="170"/>
              <w:rPr>
                <w:rFonts w:ascii="Trebuchet MS" w:hAnsi="Trebuchet MS"/>
                <w:color w:val="0060A9"/>
                <w:szCs w:val="18"/>
              </w:rPr>
            </w:pPr>
          </w:p>
        </w:tc>
      </w:tr>
      <w:tr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w:rsidR="000765AF" w:rsidRPr="000765AF" w:rsidTr="00703DCD">
        <w:tc>
          <w:tcPr>
            <w:tcW w:w="610" w:type="pct"/>
            <w:shd w:val="clear" w:color="auto" w:fill="DBE5F1" w:themeFill="accent1" w:themeFillTint="33"/>
          </w:tcPr>
          <w:p w:rsidR="000765AF" w:rsidRPr="000765AF" w:rsidRDefault="000765AF" w:rsidP="00522D1B">
            <w:pPr>
              <w:pStyle w:val="Tabelle"/>
              <w:spacing w:line="200" w:lineRule="exact"/>
              <w:rPr>
                <w:rFonts w:ascii="Trebuchet MS" w:hAnsi="Trebuchet MS"/>
                <w:b/>
                <w:bCs/>
                <w:color w:val="0060A9"/>
                <w:szCs w:val="18"/>
              </w:rPr>
            </w:pPr>
            <w:r>
              <w:rPr>
                <w:rFonts w:ascii="Trebuchet MS" w:hAnsi="Trebuchet MS"/>
                <w:b/>
                <w:color w:val="0060A9"/>
              </w:rPr>
              <w:t>TC 7 Udržitelná doprava a klíčové síťové infrastruktury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135" w:type="pct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Výborná dostupnost železničního spojení kolem městských hubů (uzlů) a podél koridorů vysokorychlostních železničních tras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Probíhající činnosti na podporu udržitelné dopravy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Projekty zaměřené na vysokorychlostní spojení v jižním Německu přinesly lepší obslužnost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129" w:type="pct"/>
          </w:tcPr>
          <w:p w:rsidR="00636872" w:rsidRPr="00636872" w:rsidRDefault="00636872" w:rsidP="00636872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Nedostatek integrovaných systémů dopravy a multimodality, především v nových členských státech</w:t>
            </w:r>
          </w:p>
          <w:p w:rsidR="00650A93" w:rsidRPr="000765AF" w:rsidRDefault="00650A93" w:rsidP="00650A93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 xml:space="preserve">Disproporce mezi jádrem a periferií v přístupnosti: </w:t>
            </w:r>
            <w:r>
              <w:rPr>
                <w:rFonts w:ascii="Trebuchet MS" w:hAnsi="Trebuchet MS"/>
              </w:rPr>
              <w:t>jádro – regiony v Německu, Rakousku a severní Itálii; periferie – regiony východní a jihovýchodní Evropy</w:t>
            </w:r>
          </w:p>
          <w:p w:rsidR="00650A93" w:rsidRPr="000765AF" w:rsidRDefault="00650A93" w:rsidP="00650A93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Špatná dostupnost spojení na regionální a místní úrovni (železnice, dálnice a letiště), zejména mimo oblast aglomerací a v nových členských státech</w:t>
            </w:r>
          </w:p>
          <w:p w:rsidR="00636872" w:rsidRPr="00636872" w:rsidRDefault="00636872" w:rsidP="00636872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 xml:space="preserve">Nízká kvalita veřejné dopravy, klesající podíl veřejné dopravy a chybějící silniční spojení a hraniční přechody v mnoha periferních regionech </w:t>
            </w:r>
          </w:p>
          <w:p w:rsidR="000765AF" w:rsidRPr="00650A93" w:rsidRDefault="000765AF" w:rsidP="00650A93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Chybějící spojení mezi městskými centry a některými periferními regiony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041" w:type="pct"/>
          </w:tcPr>
          <w:p w:rsidR="00650A93" w:rsidRPr="00636872" w:rsidRDefault="00650A93" w:rsidP="00650A93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Průběžné investice do dálkových transevropských dopravních sítí/vysoká potenciální multimodální přístupnost regionů hlavních měst a regionů západní a střední Evropy</w:t>
            </w:r>
          </w:p>
          <w:p w:rsid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Lepší dopravní spojení v rámci Evropy dále zlepšuje přístupnost středoevropských regionů</w:t>
            </w:r>
          </w:p>
          <w:p w:rsidR="00C12576" w:rsidRPr="000765AF" w:rsidRDefault="00C12576" w:rsidP="00C12576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Hospodářský rozvoj průmyslových oblastí je úzce spojen s multimodální výměnou zboží a efektivní nákladní dopravou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085" w:type="pct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 xml:space="preserve">Konkurenceschopnost regionů snižují rozdíly v multimodální dostupnosti 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Východní země se snaží dohnat vyspělé státy a stoupá v nich objem individuální automobilové dopravy</w:t>
            </w:r>
          </w:p>
        </w:tc>
      </w:tr>
      <w:tr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w:rsidR="000765AF" w:rsidRPr="000765AF" w:rsidTr="00EB1A98">
        <w:tc>
          <w:tcPr>
            <w:tcW w:w="610" w:type="pct"/>
            <w:shd w:val="clear" w:color="auto" w:fill="DBE5F1" w:themeFill="accent1" w:themeFillTint="33"/>
          </w:tcPr>
          <w:p w:rsidR="000765AF" w:rsidRPr="000765AF" w:rsidRDefault="000765AF" w:rsidP="00522D1B">
            <w:pPr>
              <w:pStyle w:val="Tabelle"/>
              <w:spacing w:line="200" w:lineRule="exact"/>
              <w:rPr>
                <w:rFonts w:ascii="Trebuchet MS" w:hAnsi="Trebuchet MS"/>
                <w:b/>
                <w:bCs/>
                <w:color w:val="0060A9"/>
                <w:szCs w:val="18"/>
              </w:rPr>
            </w:pPr>
            <w:r>
              <w:rPr>
                <w:rFonts w:ascii="Trebuchet MS" w:hAnsi="Trebuchet MS"/>
                <w:b/>
                <w:color w:val="0060A9"/>
              </w:rPr>
              <w:t>TC 8 Zaměstnanost a mobilita pracovní síly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135" w:type="pct"/>
            <w:shd w:val="clear" w:color="auto" w:fill="D9D9D9" w:themeFill="background1" w:themeFillShade="D9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Přeshraniční hospodářská migrace a vysoce kvalitní přeshraniční trhy práce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Existující spolupráce na trhu práce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129" w:type="pct"/>
            <w:shd w:val="clear" w:color="auto" w:fill="D9D9D9" w:themeFill="background1" w:themeFillShade="D9"/>
          </w:tcPr>
          <w:p w:rsid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Velké ekonomické rozdíly mezi regiony ve starých a nových členských státech</w:t>
            </w:r>
          </w:p>
          <w:p w:rsidR="00130E8E" w:rsidRPr="000765AF" w:rsidRDefault="0076263B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Nedostatečný přístup ke službám a zaměstnanosti v regionech s převahou malých vesnic a řídce osídlených oblastí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Vysoká nezaměstnanost v regionech východního Německa, příhraničních regionech severovýchodního Maďarska a středovýchodního Slovenska</w:t>
            </w:r>
          </w:p>
          <w:p w:rsidR="00130E8E" w:rsidRPr="00130E8E" w:rsidRDefault="000765AF" w:rsidP="00130E8E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Jednosměrná migrace pracovníků z nových do starých členských států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041" w:type="pct"/>
            <w:shd w:val="clear" w:color="auto" w:fill="D9D9D9" w:themeFill="background1" w:themeFillShade="D9"/>
          </w:tcPr>
          <w:p w:rsidR="00130E8E" w:rsidRDefault="00130E8E" w:rsidP="00130E8E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Pružnější trh práce a podpora alternativního zaměstnávání na základě unijní legislativy</w:t>
            </w:r>
          </w:p>
          <w:p w:rsidR="000765AF" w:rsidRPr="000765AF" w:rsidRDefault="00130E8E" w:rsidP="00130E8E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Výměna znalostí a kulturních hodnot podporující flexibilní, kreativní pracovní sílu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085" w:type="pct"/>
            <w:shd w:val="clear" w:color="auto" w:fill="D9D9D9" w:themeFill="background1" w:themeFillShade="D9"/>
          </w:tcPr>
          <w:p w:rsid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Rostoucí konkurence (pracovního) trhu vůči dalším globálním regionům (Čína, Indie) a tlak na ekonomickou produktivitu</w:t>
            </w:r>
          </w:p>
          <w:p w:rsidR="00130E8E" w:rsidRPr="00130E8E" w:rsidRDefault="00130E8E" w:rsidP="00130E8E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 xml:space="preserve">Zvyšující se odliv mozků a mladých a kreativních talentů z periferních regionů 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Klesající zaměstnanost v primárním a sekundárním sektoru z důvodu transformace trhu</w:t>
            </w:r>
          </w:p>
        </w:tc>
      </w:tr>
      <w:tr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w:rsidR="000765AF" w:rsidRPr="000765AF" w:rsidTr="00EB1A98">
        <w:tc>
          <w:tcPr>
            <w:tcW w:w="610" w:type="pct"/>
            <w:shd w:val="clear" w:color="auto" w:fill="DBE5F1" w:themeFill="accent1" w:themeFillTint="33"/>
          </w:tcPr>
          <w:p w:rsidR="000765AF" w:rsidRPr="000765AF" w:rsidRDefault="000765AF" w:rsidP="00522D1B">
            <w:pPr>
              <w:pStyle w:val="Tabelle"/>
              <w:spacing w:line="200" w:lineRule="exact"/>
              <w:rPr>
                <w:rFonts w:ascii="Trebuchet MS" w:hAnsi="Trebuchet MS"/>
                <w:b/>
                <w:bCs/>
                <w:color w:val="0060A9"/>
                <w:szCs w:val="18"/>
              </w:rPr>
            </w:pPr>
            <w:r>
              <w:rPr>
                <w:rFonts w:ascii="Trebuchet MS" w:hAnsi="Trebuchet MS"/>
                <w:b/>
                <w:color w:val="0060A9"/>
              </w:rPr>
              <w:t>TC 9 Sociální začleňování a boj proti chudobě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135" w:type="pct"/>
            <w:shd w:val="clear" w:color="auto" w:fill="D9D9D9" w:themeFill="background1" w:themeFillShade="D9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Rozmanitost populace, např. etnická rozmanitost a přítomnost jazykových menšin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Respektování rovnosti pohlaví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Veřejné intervence pro zajištění rovných příležitostí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129" w:type="pct"/>
            <w:shd w:val="clear" w:color="auto" w:fill="D9D9D9" w:themeFill="background1" w:themeFillShade="D9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Silná polarizace z hlediska příjmu, vzdělání, zdravotní péče, demografie a zaměstnanosti</w:t>
            </w:r>
          </w:p>
          <w:p w:rsidR="000765AF" w:rsidRPr="000765AF" w:rsidRDefault="0076263B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Rostoucí rozdíly v kvalitě a podmínkách veřejných služeb (rozdělení mezi východem a západem)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Marginalizace periferních oblastí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Riziko chudoby pro různé skupiny populace (např. ženy, migranty)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041" w:type="pct"/>
            <w:shd w:val="clear" w:color="auto" w:fill="D9D9D9" w:themeFill="background1" w:themeFillShade="D9"/>
          </w:tcPr>
          <w:p w:rsidR="0076263B" w:rsidRDefault="000765AF" w:rsidP="0076263B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 xml:space="preserve">Rovné příležitosti jako horizontální téma v rámci životního cyklu programu </w:t>
            </w:r>
          </w:p>
          <w:p w:rsidR="000765AF" w:rsidRPr="000765AF" w:rsidRDefault="0076263B" w:rsidP="0076263B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Podpora sociálních inovací může napomáhat sociálnímu začleňování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085" w:type="pct"/>
            <w:shd w:val="clear" w:color="auto" w:fill="D9D9D9" w:themeFill="background1" w:themeFillShade="D9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Stárnoucí populace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Vylidňující se periferní regiony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Rostoucí sociální rozmanitost a polarizace</w:t>
            </w:r>
          </w:p>
        </w:tc>
      </w:tr>
      <w:tr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w:rsidR="000765AF" w:rsidRPr="000765AF" w:rsidTr="00EB1A98">
        <w:tc>
          <w:tcPr>
            <w:tcW w:w="610" w:type="pct"/>
            <w:shd w:val="clear" w:color="auto" w:fill="DBE5F1" w:themeFill="accent1" w:themeFillTint="33"/>
          </w:tcPr>
          <w:p w:rsidR="000765AF" w:rsidRPr="000765AF" w:rsidRDefault="000765AF" w:rsidP="00522D1B">
            <w:pPr>
              <w:pStyle w:val="Tabelle"/>
              <w:spacing w:line="200" w:lineRule="exact"/>
              <w:rPr>
                <w:rFonts w:ascii="Trebuchet MS" w:hAnsi="Trebuchet MS"/>
                <w:b/>
                <w:bCs/>
                <w:color w:val="0060A9"/>
                <w:szCs w:val="18"/>
              </w:rPr>
            </w:pPr>
            <w:r>
              <w:rPr>
                <w:rFonts w:ascii="Trebuchet MS" w:hAnsi="Trebuchet MS"/>
                <w:b/>
                <w:color w:val="0060A9"/>
              </w:rPr>
              <w:t>TC 10 Vzdělanost, kvalifikace a celoživotní vzdělávání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135" w:type="pct"/>
            <w:shd w:val="clear" w:color="auto" w:fill="D9D9D9" w:themeFill="background1" w:themeFillShade="D9"/>
          </w:tcPr>
          <w:p w:rsidR="000765AF" w:rsidRPr="000765AF" w:rsidRDefault="0076263B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Vyšší úroveň vzdělanosti vedoucí k větší flexibilitě obyvatel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Rostoucí zapojení žen do vzdělávacího procesu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Růst zaměstnanosti díky kvalifikované a flexibilní pracovní síle</w:t>
            </w:r>
          </w:p>
          <w:p w:rsidR="000765AF" w:rsidRPr="000765AF" w:rsidRDefault="000765AF" w:rsidP="0076263B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Nejvyšší podíl obyvatel s vysokoškolským vzděláním bydlí v okolí velkých měst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129" w:type="pct"/>
            <w:shd w:val="clear" w:color="auto" w:fill="D9D9D9" w:themeFill="background1" w:themeFillShade="D9"/>
          </w:tcPr>
          <w:p w:rsidR="000765AF" w:rsidRPr="000765AF" w:rsidRDefault="0076263B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Nedostatečná vzdělanost v jihovýchodních regionech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Klesající podíl obyvatel s vysokoškolským vzděláním ve starých členských státech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041" w:type="pct"/>
            <w:shd w:val="clear" w:color="auto" w:fill="D9D9D9" w:themeFill="background1" w:themeFillShade="D9"/>
          </w:tcPr>
          <w:p w:rsidR="000765AF" w:rsidRDefault="0076263B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Výměna znalostí a kulturních hodnot podporující flexibilní, kreativní pracovní sílu</w:t>
            </w:r>
          </w:p>
          <w:p w:rsidR="006D1B2F" w:rsidRPr="000765AF" w:rsidRDefault="006D1B2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Narůst znalostí a kvalifikací napomůže řešení problémů, které souvisejí například s demografickými změnami, migrací nebo odlivem mozků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Vyspělost evropské znalostní společnosti (boloňský proces, studentské výměnné programy)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085" w:type="pct"/>
            <w:shd w:val="clear" w:color="auto" w:fill="D9D9D9" w:themeFill="background1" w:themeFillShade="D9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Rostoucí konkurence mezi regiony (trh práce a populace)</w:t>
            </w:r>
          </w:p>
        </w:tc>
      </w:tr>
      <w:tr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w:rsidR="000765AF" w:rsidRPr="000765AF" w:rsidTr="00EB1A98">
        <w:tc>
          <w:tcPr>
            <w:tcW w:w="610" w:type="pct"/>
            <w:shd w:val="clear" w:color="auto" w:fill="DBE5F1" w:themeFill="accent1" w:themeFillTint="33"/>
          </w:tcPr>
          <w:p w:rsidR="000765AF" w:rsidRPr="000765AF" w:rsidRDefault="000765AF" w:rsidP="00522D1B">
            <w:pPr>
              <w:pStyle w:val="Tabelle"/>
              <w:spacing w:line="200" w:lineRule="exact"/>
              <w:rPr>
                <w:rFonts w:ascii="Trebuchet MS" w:hAnsi="Trebuchet MS"/>
                <w:b/>
                <w:bCs/>
                <w:color w:val="0060A9"/>
                <w:szCs w:val="18"/>
              </w:rPr>
            </w:pPr>
            <w:r>
              <w:rPr>
                <w:rFonts w:ascii="Trebuchet MS" w:hAnsi="Trebuchet MS"/>
                <w:b/>
                <w:color w:val="0060A9"/>
              </w:rPr>
              <w:t>TC 11 Institucionální kapacita a efektivní veřejná správa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135" w:type="pct"/>
            <w:shd w:val="clear" w:color="auto" w:fill="D9D9D9" w:themeFill="background1" w:themeFillShade="D9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Související iniciativy shora dolů i zdola nahoru za pomoci víceúrovňové správy a řízení včetně např. prvků účasti</w:t>
            </w:r>
          </w:p>
          <w:p w:rsidR="000765AF" w:rsidRPr="000765AF" w:rsidRDefault="0098795C" w:rsidP="0098795C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Tradice meziregionální, nadnárodní a přeshraniční spolupráce na institucionální, politické a správní úrovni a v rámci projektů (např. posilování identity, ekonomická spolupráce, migrace na pracovním trhu)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129" w:type="pct"/>
            <w:shd w:val="clear" w:color="auto" w:fill="D9D9D9" w:themeFill="background1" w:themeFillShade="D9"/>
          </w:tcPr>
          <w:p w:rsidR="000765AF" w:rsidRPr="000765AF" w:rsidRDefault="0098795C" w:rsidP="0098795C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Nízká úroveň veřejné elektronické správy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Chybějící průřezové (integrované) přístupy</w:t>
            </w: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041" w:type="pct"/>
            <w:shd w:val="clear" w:color="auto" w:fill="D9D9D9" w:themeFill="background1" w:themeFillShade="D9"/>
          </w:tcPr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Spojitost s makroregionálními strategiemi, jako jsou Strategie pro region Baltského moře, Strategie pro Podunají a jiné připravované strategie</w:t>
            </w:r>
          </w:p>
          <w:p w:rsidR="000765AF" w:rsidRPr="000765AF" w:rsidRDefault="000765AF" w:rsidP="000765AF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 xml:space="preserve">Tradiční správa doplněná elektronickou správou </w:t>
            </w:r>
          </w:p>
          <w:p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w:rsidR="000765AF" w:rsidRPr="000765AF" w:rsidRDefault="000765AF" w:rsidP="0098795C">
            <w:pPr>
              <w:pStyle w:val="Tabelle"/>
              <w:spacing w:before="0" w:line="200" w:lineRule="exact"/>
              <w:ind w:left="170"/>
              <w:rPr>
                <w:rFonts w:ascii="Trebuchet MS" w:hAnsi="Trebuchet MS"/>
                <w:szCs w:val="18"/>
              </w:rPr>
            </w:pPr>
          </w:p>
        </w:tc>
        <w:tc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        <w:tcPr>
            <w:tcW w:w="1085" w:type="pct"/>
            <w:shd w:val="clear" w:color="auto" w:fill="D9D9D9" w:themeFill="background1" w:themeFillShade="D9"/>
          </w:tcPr>
          <w:p w:rsidR="0098795C" w:rsidRPr="0098795C" w:rsidRDefault="0098795C" w:rsidP="0098795C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>Rostoucí rozdíly mezi regulací a implementací, kapacitní potřeby (know-how, lidské zdroje) pro správní orgány</w:t>
            </w:r>
          </w:p>
          <w:p w:rsidR="0098795C" w:rsidRPr="0098795C" w:rsidRDefault="0098795C" w:rsidP="0098795C">
            <w:pPr>
              <w:pStyle w:val="Tabelle"/>
              <w:numPr>
                <w:ilvl w:val="0"/>
                <w:numId w:val="1"/>
              </w:numPr>
              <w:spacing w:before="0" w:line="200" w:lineRule="exact"/>
              <w:ind w:left="170" w:hanging="170"/>
              <w:rPr>
                <w:rFonts w:ascii="Trebuchet MS" w:hAnsi="Trebuchet MS"/>
                <w:szCs w:val="18"/>
              </w:rPr>
            </w:pPr>
            <w:r>
              <w:rPr>
                <w:rFonts w:ascii="Trebuchet MS" w:hAnsi="Trebuchet MS"/>
              </w:rPr>
              <w:t xml:space="preserve">Nadměrná regulace v některých politických oblastech (např. ochrana národního trhu, sociální zabezpečení, pracovní trhy) </w:t>
            </w:r>
          </w:p>
          <w:p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w:rsidR="000765AF" w:rsidRPr="000765AF" w:rsidRDefault="000765AF" w:rsidP="0098795C">
            <w:pPr>
              <w:pStyle w:val="Tabelle"/>
              <w:spacing w:before="0" w:line="200" w:lineRule="exact"/>
              <w:ind w:left="170"/>
              <w:rPr>
                <w:rFonts w:ascii="Trebuchet MS" w:hAnsi="Trebuchet MS"/>
                <w:szCs w:val="18"/>
              </w:rPr>
            </w:pPr>
          </w:p>
        </w:tc>
      </w:tr>
      <w:bookmarkEnd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w:id="5"/>
    </w:tbl>
    <w:p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w:rsidR="000765AF" w:rsidRPr="000765AF" w:rsidRDefault="000765AF" w:rsidP="000765AF">
      <w:pPr>
        <w:rPr>
          <w:rFonts w:ascii="Trebuchet MS" w:hAnsi="Trebuchet MS"/>
        </w:rPr>
      </w:pPr>
    </w:p>
    <w:p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w:rsidR="00E84DF5" w:rsidRPr="000765AF" w:rsidRDefault="00E84DF5">
      <w:pPr>
        <w:rPr>
          <w:rFonts w:ascii="Trebuchet MS" w:hAnsi="Trebuchet MS"/>
        </w:rPr>
      </w:pPr>
    </w:p>
    <w:sectPr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w:rsidR="00E84DF5" w:rsidRPr="000765AF" w:rsidSect="000765AF">
      <w:footerReference w:type="default" r:id="rId9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14="http://schemas.microsoft.com/office/word/2010/wordml" xmlns:wne="http://schemas.microsoft.com/office/word/2006/wordml" xmlns:a="http://schemas.openxmlformats.org/drawingml/2006/main" xmlns:pic="http://schemas.openxmlformats.org/drawingml/2006/picture" xmlns:dgm="http://schemas.openxmlformats.org/drawingml/2006/diagram" xmlns:c="http://schemas.openxmlformats.org/drawingml/2006/chart" xmlns:p="http://schemas.openxmlformats.org/presentationml/2006/main" xmlns:wpc="http://schemas.microsoft.com/office/word/2010/wordprocessingCanvas" xmlns:mc="http://schemas.openxmlformats.org/markup-compatibility/2006" xmlns:wp14="http://schemas.microsoft.com/office/word/2010/wordprocessingDrawing" xmlns:wpg="http://schemas.microsoft.com/office/word/2010/wordprocessingGroup" xmlns:wpi="http://schemas.microsoft.com/office/word/2010/wordprocessingInk" xmlns:wps="http://schemas.microsoft.com/office/word/2010/wordprocessingShape">
  <w:endnote w:type="separator" w:id="-1">
    <w:p w:rsidR="00CE1BC4" w:rsidRDefault="00CE1BC4" w:rsidP="00CE1BC4">
      <w:pPr>
        <w:spacing w:after="0" w:line="240" w:lineRule="auto"/>
      </w:pPr>
      <w:r>
        <w:separator/>
      </w:r>
    </w:p>
  </w:endnote>
  <w:endnote w:type="continuationSeparator" w:id="0">
    <w:p w:rsidR="00CE1BC4" w:rsidRDefault="00CE1BC4" w:rsidP="00CE1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umnst777 Lt BT">
    <w:altName w:val="Lucida Sans Unicode"/>
    <w:charset w:val="00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0626541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</w:rPr>
    </w:sdtEndPr>
    <w:sdtContent>
      <w:p w:rsidR="00CE1BC4" w:rsidRPr="00CE1BC4" w:rsidRDefault="00CE1BC4">
        <w:pPr>
          <w:pStyle w:val="Fuzeile"/>
          <w:jc w:val="right"/>
          <w:rPr>
            <w:rFonts w:ascii="Trebuchet MS" w:hAnsi="Trebuchet MS"/>
            <w:sz w:val="18"/>
          </w:rPr>
        </w:pPr>
        <w:r w:rsidRPr="00CE1BC4">
          <w:rPr>
            <w:rFonts w:ascii="Trebuchet MS" w:hAnsi="Trebuchet MS"/>
            <w:sz w:val="18"/>
          </w:rPr>
          <w:fldChar w:fldCharType="begin"/>
        </w:r>
        <w:r w:rsidRPr="00CE1BC4">
          <w:rPr>
            <w:rFonts w:ascii="Trebuchet MS" w:hAnsi="Trebuchet MS"/>
            <w:sz w:val="18"/>
          </w:rPr>
          <w:instrText>PAGE   \* MERGEFORMAT</w:instrText>
        </w:r>
        <w:r w:rsidRPr="00CE1BC4">
          <w:rPr>
            <w:rFonts w:ascii="Trebuchet MS" w:hAnsi="Trebuchet MS"/>
            <w:sz w:val="18"/>
          </w:rPr>
          <w:fldChar w:fldCharType="separate"/>
        </w:r>
        <w:r w:rsidR="00EB1A98" w:rsidRPr="00EB1A98">
          <w:rPr>
            <w:rFonts w:ascii="Trebuchet MS" w:hAnsi="Trebuchet MS"/>
            <w:noProof/>
            <w:sz w:val="18"/>
          </w:rPr>
          <w:t>1</w:t>
        </w:r>
        <w:r w:rsidRPr="00CE1BC4">
          <w:rPr>
            <w:rFonts w:ascii="Trebuchet MS" w:hAnsi="Trebuchet MS"/>
            <w:sz w:val="18"/>
          </w:rPr>
          <w:fldChar w:fldCharType="end"/>
        </w:r>
      </w:p>
    </w:sdtContent>
  </w:sdt>
  <w:p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w:rsidR="00CE1BC4" w:rsidRDefault="00CE1BC4">
    <w:pPr>
      <w:pStyle w:val="Fuzeile"/>
    </w:pPr>
  </w:p>
</w:ftr>
</file>

<file path=word/footnotes.xml><?xml version="1.0" encoding="utf-8"?>
<w:footnotes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14="http://schemas.microsoft.com/office/word/2010/wordml" xmlns:wne="http://schemas.microsoft.com/office/word/2006/wordml" xmlns:a="http://schemas.openxmlformats.org/drawingml/2006/main" xmlns:pic="http://schemas.openxmlformats.org/drawingml/2006/picture" xmlns:dgm="http://schemas.openxmlformats.org/drawingml/2006/diagram" xmlns:c="http://schemas.openxmlformats.org/drawingml/2006/chart" xmlns:wpc="http://schemas.microsoft.com/office/word/2010/wordprocessingCanvas" xmlns:mc="http://schemas.openxmlformats.org/markup-compatibility/2006" xmlns:wp14="http://schemas.microsoft.com/office/word/2010/wordprocessingDrawing" xmlns:wpg="http://schemas.microsoft.com/office/word/2010/wordprocessingGroup" xmlns:wpi="http://schemas.microsoft.com/office/word/2010/wordprocessingInk" xmlns:wps="http://schemas.microsoft.com/office/word/2010/wordprocessingShape">
  <w:footnote w:type="separator" w:id="-1">
    <w:p w:rsidR="00CE1BC4" w:rsidRDefault="00CE1BC4" w:rsidP="00CE1BC4">
      <w:pPr>
        <w:spacing w:after="0" w:line="240" w:lineRule="auto"/>
      </w:pPr>
      <w:r>
        <w:separator/>
      </w:r>
    </w:p>
  </w:footnote>
  <w:footnote w:type="continuationSeparator" w:id="0">
    <w:p w:rsidR="00CE1BC4" w:rsidRDefault="00CE1BC4" w:rsidP="00CE1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7DDE"/>
    <w:multiLevelType w:val="hybridMultilevel"/>
    <w:tmpl w:val="B5E25396"/>
    <w:lvl w:ilvl="0" w:tplc="F922148C">
      <w:start w:val="1"/>
      <w:numFmt w:val="bullet"/>
      <w:lvlText w:val="–"/>
      <w:lvlJc w:val="left"/>
      <w:pPr>
        <w:ind w:left="720" w:hanging="360"/>
      </w:pPr>
      <w:rPr>
        <w:rFonts w:ascii="Arial" w:hAnsi="Arial" w:cs="Arial" w:hint="default"/>
        <w:color w:val="0060A9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F61A30"/>
    <w:multiLevelType w:val="hybridMultilevel"/>
    <w:tmpl w:val="8CFE577A"/>
    <w:lvl w:ilvl="0" w:tplc="4B80E468">
      <w:start w:val="1"/>
      <w:numFmt w:val="bullet"/>
      <w:pStyle w:val="Aufzhlungszeichen"/>
      <w:lvlText w:val="–"/>
      <w:lvlJc w:val="left"/>
      <w:pPr>
        <w:ind w:left="360" w:hanging="360"/>
      </w:pPr>
      <w:rPr>
        <w:rFonts w:ascii="Humnst777 Lt BT" w:hAnsi="Humnst777 Lt BT" w:cs="Humnst777 Lt BT" w:hint="default"/>
        <w:color w:val="0060A9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5AF"/>
    <w:rsid w:val="000765AF"/>
    <w:rsid w:val="00084D23"/>
    <w:rsid w:val="00130E8E"/>
    <w:rsid w:val="002927F5"/>
    <w:rsid w:val="004B2893"/>
    <w:rsid w:val="00536B7A"/>
    <w:rsid w:val="00636872"/>
    <w:rsid w:val="00650A93"/>
    <w:rsid w:val="006764F2"/>
    <w:rsid w:val="006B0600"/>
    <w:rsid w:val="006D1B2F"/>
    <w:rsid w:val="00703DCD"/>
    <w:rsid w:val="0076263B"/>
    <w:rsid w:val="007C3F79"/>
    <w:rsid w:val="008F654D"/>
    <w:rsid w:val="0098795C"/>
    <w:rsid w:val="00C12576"/>
    <w:rsid w:val="00CB138A"/>
    <w:rsid w:val="00CE1BC4"/>
    <w:rsid w:val="00CE794F"/>
    <w:rsid w:val="00E84DF5"/>
    <w:rsid w:val="00EB1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dgm="http://schemas.openxmlformats.org/drawingml/2006/diagram" xmlns:c="http://schemas.openxmlformats.org/drawingml/2006/chart" xmlns:p="http://schemas.openxmlformats.org/presentationml/2006/main" xmlns:mc="http://schemas.openxmlformats.org/markup-compatibility/2006">
  <w:docDefaults>
    <w:rPrDefault>
      <w:rPr>
        <w:rFonts w:asciiTheme="minorHAnsi" w:eastAsiaTheme="minorHAnsi" w:hAnsiTheme="minorHAnsi" w:cstheme="minorBidi"/>
        <w:sz w:val="22"/>
        <w:szCs w:val="22"/>
        <w:lang w:val="cs-CZ" w:eastAsia="cs-CZ" w:bidi="cs-CZ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5AF"/>
    <w:pPr>
      <w:spacing w:after="240" w:line="280" w:lineRule="atLeast"/>
      <w:jc w:val="both"/>
    </w:pPr>
    <w:rPr>
      <w:rFonts w:ascii="Arial" w:eastAsia="Times New Roman" w:hAnsi="Arial" w:cs="Times New Roman"/>
      <w:sz w:val="20"/>
      <w:szCs w:val="20"/>
      <w:lang w:val="cs-CZ" w:eastAsia="cs-CZ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765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belle">
    <w:name w:val="Tabelle"/>
    <w:basedOn w:val="Standard"/>
    <w:qFormat/>
    <w:rsid w:val="000765AF"/>
    <w:pPr>
      <w:spacing w:before="40" w:after="40" w:line="240" w:lineRule="auto"/>
      <w:jc w:val="left"/>
    </w:pPr>
    <w:rPr>
      <w:rFonts w:ascii="Arial Narrow" w:hAnsi="Arial Narrow" w:cs="Arial"/>
      <w:sz w:val="18"/>
    </w:rPr>
  </w:style>
  <w:style w:type="paragraph" w:customStyle="1" w:styleId="berschrift2ohne">
    <w:name w:val="Überschrift 2 ohne"/>
    <w:basedOn w:val="berschrift2"/>
    <w:qFormat/>
    <w:rsid w:val="000765AF"/>
    <w:pPr>
      <w:keepLines w:val="0"/>
      <w:spacing w:before="0" w:after="240"/>
      <w:ind w:left="709" w:hanging="709"/>
      <w:jc w:val="left"/>
    </w:pPr>
    <w:rPr>
      <w:rFonts w:ascii="Arial Narrow" w:eastAsia="Times New Roman" w:hAnsi="Arial Narrow" w:cs="Times New Roman"/>
      <w:b w:val="0"/>
      <w:bCs w:val="0"/>
      <w:snapToGrid w:val="0"/>
      <w:color w:val="auto"/>
      <w:sz w:val="28"/>
      <w:szCs w:val="2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765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cs-CZ" w:eastAsia="cs-CZ"/>
    </w:rPr>
  </w:style>
  <w:style w:type="paragraph" w:styleId="Listenabsatz">
    <w:name w:val="List Paragraph"/>
    <w:basedOn w:val="Standard"/>
    <w:uiPriority w:val="34"/>
    <w:qFormat/>
    <w:rsid w:val="00536B7A"/>
    <w:pPr>
      <w:ind w:left="720"/>
      <w:contextualSpacing/>
    </w:pPr>
  </w:style>
  <w:style w:type="paragraph" w:customStyle="1" w:styleId="Aufzhlung">
    <w:name w:val="Aufzählung"/>
    <w:basedOn w:val="Aufzhlungszeichen"/>
    <w:qFormat/>
    <w:rsid w:val="006764F2"/>
    <w:pPr>
      <w:numPr>
        <w:numId w:val="0"/>
      </w:numPr>
    </w:pPr>
  </w:style>
  <w:style w:type="paragraph" w:styleId="Aufzhlungszeichen">
    <w:name w:val="List Bullet"/>
    <w:basedOn w:val="Standard"/>
    <w:uiPriority w:val="99"/>
    <w:semiHidden/>
    <w:unhideWhenUsed/>
    <w:rsid w:val="006764F2"/>
    <w:pPr>
      <w:numPr>
        <w:numId w:val="2"/>
      </w:num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CE1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E1BC4"/>
    <w:rPr>
      <w:rFonts w:ascii="Arial" w:eastAsia="Times New Roman" w:hAnsi="Arial" w:cs="Times New Roman"/>
      <w:sz w:val="20"/>
      <w:szCs w:val="20"/>
      <w:lang w:val="cs-CZ" w:eastAsia="cs-CZ"/>
    </w:rPr>
  </w:style>
  <w:style w:type="paragraph" w:styleId="Fuzeile">
    <w:name w:val="footer"/>
    <w:basedOn w:val="Standard"/>
    <w:link w:val="FuzeileZchn"/>
    <w:uiPriority w:val="99"/>
    <w:unhideWhenUsed/>
    <w:rsid w:val="00CE1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E1BC4"/>
    <w:rPr>
      <w:rFonts w:ascii="Arial" w:eastAsia="Times New Roman" w:hAnsi="Arial" w:cs="Times New Roman"/>
      <w:sz w:val="20"/>
      <w:szCs w:val="20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5AF"/>
    <w:pPr>
      <w:spacing w:after="240" w:line="280" w:lineRule="atLeast"/>
      <w:jc w:val="both"/>
    </w:pPr>
    <w:rPr>
      <w:rFonts w:ascii="Arial" w:eastAsia="Times New Roman" w:hAnsi="Arial" w:cs="Times New Roman"/>
      <w:sz w:val="20"/>
      <w:szCs w:val="20"/>
      <w:lang w:val="en-GB"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765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belle">
    <w:name w:val="Tabelle"/>
    <w:basedOn w:val="Standard"/>
    <w:qFormat/>
    <w:rsid w:val="000765AF"/>
    <w:pPr>
      <w:spacing w:before="40" w:after="40" w:line="240" w:lineRule="auto"/>
      <w:jc w:val="left"/>
    </w:pPr>
    <w:rPr>
      <w:rFonts w:ascii="Arial Narrow" w:hAnsi="Arial Narrow" w:cs="Arial"/>
      <w:sz w:val="18"/>
    </w:rPr>
  </w:style>
  <w:style w:type="paragraph" w:customStyle="1" w:styleId="berschrift2ohne">
    <w:name w:val="Überschrift 2 ohne"/>
    <w:basedOn w:val="berschrift2"/>
    <w:qFormat/>
    <w:rsid w:val="000765AF"/>
    <w:pPr>
      <w:keepLines w:val="0"/>
      <w:spacing w:before="0" w:after="240"/>
      <w:ind w:left="709" w:hanging="709"/>
      <w:jc w:val="left"/>
    </w:pPr>
    <w:rPr>
      <w:rFonts w:ascii="Arial Narrow" w:eastAsia="Times New Roman" w:hAnsi="Arial Narrow" w:cs="Times New Roman"/>
      <w:b w:val="0"/>
      <w:bCs w:val="0"/>
      <w:snapToGrid w:val="0"/>
      <w:color w:val="auto"/>
      <w:sz w:val="28"/>
      <w:szCs w:val="2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765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de-DE"/>
    </w:rPr>
  </w:style>
  <w:style w:type="paragraph" w:styleId="Listenabsatz">
    <w:name w:val="List Paragraph"/>
    <w:basedOn w:val="Standard"/>
    <w:uiPriority w:val="34"/>
    <w:qFormat/>
    <w:rsid w:val="00536B7A"/>
    <w:pPr>
      <w:ind w:left="720"/>
      <w:contextualSpacing/>
    </w:pPr>
  </w:style>
  <w:style w:type="paragraph" w:customStyle="1" w:styleId="Aufzhlung">
    <w:name w:val="Aufzählung"/>
    <w:basedOn w:val="Aufzhlungszeichen"/>
    <w:qFormat/>
    <w:rsid w:val="006764F2"/>
    <w:pPr>
      <w:numPr>
        <w:numId w:val="0"/>
      </w:numPr>
    </w:pPr>
  </w:style>
  <w:style w:type="paragraph" w:styleId="Aufzhlungszeichen">
    <w:name w:val="List Bullet"/>
    <w:basedOn w:val="Standard"/>
    <w:uiPriority w:val="99"/>
    <w:semiHidden/>
    <w:unhideWhenUsed/>
    <w:rsid w:val="006764F2"/>
    <w:pPr>
      <w:numPr>
        <w:numId w:val="2"/>
      </w:num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CE1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E1BC4"/>
    <w:rPr>
      <w:rFonts w:ascii="Arial" w:eastAsia="Times New Roman" w:hAnsi="Arial" w:cs="Times New Roman"/>
      <w:sz w:val="20"/>
      <w:szCs w:val="20"/>
      <w:lang w:val="en-GB" w:eastAsia="de-DE"/>
    </w:rPr>
  </w:style>
  <w:style w:type="paragraph" w:styleId="Fuzeile">
    <w:name w:val="footer"/>
    <w:basedOn w:val="Standard"/>
    <w:link w:val="FuzeileZchn"/>
    <w:uiPriority w:val="99"/>
    <w:unhideWhenUsed/>
    <w:rsid w:val="00CE1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E1BC4"/>
    <w:rPr>
      <w:rFonts w:ascii="Arial" w:eastAsia="Times New Roman" w:hAnsi="Arial" w:cs="Times New Roman"/>
      <w:sz w:val="20"/>
      <w:szCs w:val="20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image" Target="media/image1.jpeg" /><Relationship Id="rId3" Type="http://schemas.microsoft.com/office/2007/relationships/stylesWithEffects" Target="stylesWithEffects.xml" /><Relationship Id="rId7" Type="http://schemas.openxmlformats.org/officeDocument/2006/relationships/endnotes" Target="endnote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1553</Words>
  <Characters>9784</Characters>
  <Application>Microsoft Office Word</Application>
  <DocSecurity>0</DocSecurity>
  <Lines>81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Schönerklee-Grasser Monika</dc:creator>
  <cp:lastModifiedBy>Schönerklee-Grasser Monika</cp:lastModifiedBy>
  <cp:revision>19</cp:revision>
  <cp:lastPrinted>2013-11-08T11:37:00Z</cp:lastPrinted>
  <dcterms:created xsi:type="dcterms:W3CDTF">2013-11-06T07:37:00Z</dcterms:created>
  <dcterms:modified xsi:type="dcterms:W3CDTF">2013-12-18T14:02:00Z</dcterms:modified>
</cp:coreProperties>
</file>